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42" w:rsidRDefault="00205142" w:rsidP="00205142">
      <w:pPr>
        <w:jc w:val="center"/>
        <w:rPr>
          <w:sz w:val="28"/>
          <w:szCs w:val="28"/>
        </w:rPr>
      </w:pPr>
    </w:p>
    <w:p w:rsidR="00205142" w:rsidRDefault="009E61DD" w:rsidP="00205142">
      <w:pPr>
        <w:jc w:val="center"/>
        <w:rPr>
          <w:sz w:val="28"/>
          <w:szCs w:val="28"/>
        </w:rPr>
      </w:pPr>
      <w:r w:rsidRPr="009E61DD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9.45pt;margin-top:10.55pt;width:383.1pt;height:66.5pt;z-index:-251658240" strokecolor="white">
            <v:textbox style="mso-next-textbox:#_x0000_s1027">
              <w:txbxContent>
                <w:p w:rsidR="00205142" w:rsidRDefault="00205142" w:rsidP="00205142">
                  <w:pPr>
                    <w:shd w:val="clear" w:color="auto" w:fill="FFFFFF"/>
                    <w:jc w:val="center"/>
                    <w:rPr>
                      <w:b/>
                    </w:rPr>
                  </w:pPr>
                  <w:r w:rsidRPr="00AF4608">
                    <w:rPr>
                      <w:b/>
                    </w:rPr>
                    <w:t xml:space="preserve">Pakistan Scientific </w:t>
                  </w:r>
                  <w:r>
                    <w:rPr>
                      <w:b/>
                    </w:rPr>
                    <w:t xml:space="preserve">&amp; Technological </w:t>
                  </w:r>
                  <w:r w:rsidRPr="00AF4608">
                    <w:rPr>
                      <w:b/>
                    </w:rPr>
                    <w:t>Information Centre (PASTIC)</w:t>
                  </w:r>
                </w:p>
                <w:p w:rsidR="00205142" w:rsidRPr="000A5F7C" w:rsidRDefault="00205142" w:rsidP="0020514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 w:rsidRPr="000A5F7C">
                    <w:rPr>
                      <w:sz w:val="16"/>
                      <w:szCs w:val="16"/>
                    </w:rPr>
                    <w:t>Pakistan Science Foundation (PSF)</w:t>
                  </w:r>
                </w:p>
                <w:p w:rsidR="00205142" w:rsidRDefault="00205142" w:rsidP="00205142">
                  <w:pPr>
                    <w:shd w:val="clear" w:color="auto" w:fill="FFFFFF"/>
                    <w:jc w:val="center"/>
                  </w:pPr>
                  <w:proofErr w:type="spellStart"/>
                  <w:r w:rsidRPr="00AF4608">
                    <w:t>Quaid</w:t>
                  </w:r>
                  <w:proofErr w:type="spellEnd"/>
                  <w:r w:rsidRPr="00AF4608">
                    <w:t>-e-</w:t>
                  </w:r>
                  <w:proofErr w:type="spellStart"/>
                  <w:r w:rsidRPr="00AF4608">
                    <w:t>Azam</w:t>
                  </w:r>
                  <w:proofErr w:type="spellEnd"/>
                  <w:r w:rsidRPr="00AF4608">
                    <w:t xml:space="preserve"> University Campus, Islamabad </w:t>
                  </w:r>
                </w:p>
                <w:p w:rsidR="00205142" w:rsidRDefault="00205142" w:rsidP="0020514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 w:rsidRPr="00111C08">
                    <w:rPr>
                      <w:sz w:val="16"/>
                      <w:szCs w:val="16"/>
                    </w:rPr>
                    <w:t>P.O</w:t>
                  </w:r>
                  <w:r>
                    <w:rPr>
                      <w:sz w:val="16"/>
                      <w:szCs w:val="16"/>
                    </w:rPr>
                    <w:t>.</w:t>
                  </w:r>
                  <w:r w:rsidRPr="00111C08">
                    <w:rPr>
                      <w:sz w:val="16"/>
                      <w:szCs w:val="16"/>
                    </w:rPr>
                    <w:t xml:space="preserve"> Box</w:t>
                  </w:r>
                  <w:r>
                    <w:rPr>
                      <w:sz w:val="16"/>
                      <w:szCs w:val="16"/>
                    </w:rPr>
                    <w:t xml:space="preserve">: </w:t>
                  </w:r>
                  <w:r w:rsidRPr="00111C08">
                    <w:rPr>
                      <w:sz w:val="16"/>
                      <w:szCs w:val="16"/>
                    </w:rPr>
                    <w:t>1217, Islamabad, Tel: +9251-9248103-4, Fax:</w:t>
                  </w:r>
                  <w:r>
                    <w:rPr>
                      <w:sz w:val="16"/>
                      <w:szCs w:val="16"/>
                    </w:rPr>
                    <w:t xml:space="preserve"> +9251-</w:t>
                  </w:r>
                  <w:r w:rsidRPr="00111C08">
                    <w:rPr>
                      <w:sz w:val="16"/>
                      <w:szCs w:val="16"/>
                    </w:rPr>
                    <w:t xml:space="preserve">9248113, </w:t>
                  </w:r>
                </w:p>
                <w:p w:rsidR="00205142" w:rsidRPr="00111C08" w:rsidRDefault="00205142" w:rsidP="00205142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</w:t>
                  </w:r>
                  <w:r w:rsidRPr="00111C08">
                    <w:rPr>
                      <w:sz w:val="16"/>
                      <w:szCs w:val="16"/>
                    </w:rPr>
                    <w:t>mail</w:t>
                  </w:r>
                  <w:r>
                    <w:rPr>
                      <w:sz w:val="16"/>
                      <w:szCs w:val="16"/>
                    </w:rPr>
                    <w:t xml:space="preserve">: </w:t>
                  </w:r>
                  <w:r w:rsidRPr="007D32E8">
                    <w:rPr>
                      <w:sz w:val="16"/>
                      <w:szCs w:val="16"/>
                    </w:rPr>
                    <w:t>dg@pastic.gov.pk</w:t>
                  </w:r>
                  <w:r>
                    <w:rPr>
                      <w:sz w:val="16"/>
                      <w:szCs w:val="16"/>
                    </w:rPr>
                    <w:t>, URL: www.pastic.gov.pk</w:t>
                  </w:r>
                </w:p>
              </w:txbxContent>
            </v:textbox>
          </v:shape>
        </w:pict>
      </w:r>
      <w:r w:rsidR="00205142"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38100</wp:posOffset>
            </wp:positionV>
            <wp:extent cx="1198245" cy="1107440"/>
            <wp:effectExtent l="0" t="0" r="0" b="0"/>
            <wp:wrapNone/>
            <wp:docPr id="2" name="Picture 2" descr="PASTIC Fina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STIC Final-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110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5142" w:rsidRDefault="00205142" w:rsidP="00205142">
      <w:pPr>
        <w:rPr>
          <w:sz w:val="28"/>
          <w:szCs w:val="28"/>
        </w:rPr>
      </w:pPr>
      <w:r>
        <w:rPr>
          <w:sz w:val="28"/>
          <w:szCs w:val="28"/>
        </w:rPr>
        <w:tab/>
        <w:t>.</w:t>
      </w:r>
    </w:p>
    <w:p w:rsidR="00205142" w:rsidRPr="00226856" w:rsidRDefault="00205142" w:rsidP="00205142">
      <w:pPr>
        <w:jc w:val="center"/>
        <w:rPr>
          <w:b/>
        </w:rPr>
      </w:pPr>
    </w:p>
    <w:p w:rsidR="00205142" w:rsidRDefault="00205142" w:rsidP="00205142">
      <w:pPr>
        <w:jc w:val="center"/>
        <w:rPr>
          <w:b/>
          <w:spacing w:val="-1"/>
          <w:sz w:val="36"/>
          <w:szCs w:val="36"/>
          <w:u w:val="single"/>
        </w:rPr>
      </w:pPr>
    </w:p>
    <w:p w:rsidR="00205142" w:rsidRDefault="00205142" w:rsidP="00205142">
      <w:pPr>
        <w:jc w:val="center"/>
        <w:rPr>
          <w:b/>
          <w:spacing w:val="-1"/>
          <w:sz w:val="36"/>
          <w:szCs w:val="36"/>
          <w:u w:val="single"/>
        </w:rPr>
      </w:pPr>
    </w:p>
    <w:p w:rsidR="00184882" w:rsidRPr="00EC2D5D" w:rsidRDefault="00184882" w:rsidP="00184882">
      <w:pPr>
        <w:ind w:hanging="360"/>
        <w:rPr>
          <w:rFonts w:ascii="Arial" w:hAnsi="Arial" w:cs="Arial"/>
          <w:noProof/>
          <w:sz w:val="4"/>
        </w:rPr>
      </w:pPr>
    </w:p>
    <w:p w:rsidR="00184882" w:rsidRDefault="00184882" w:rsidP="00184882">
      <w:pPr>
        <w:jc w:val="center"/>
        <w:rPr>
          <w:b/>
          <w:spacing w:val="-1"/>
          <w:sz w:val="34"/>
          <w:u w:val="single"/>
        </w:rPr>
      </w:pPr>
    </w:p>
    <w:p w:rsidR="00AD317C" w:rsidRPr="00F63A0C" w:rsidRDefault="00AD317C" w:rsidP="00184882">
      <w:pPr>
        <w:jc w:val="center"/>
        <w:rPr>
          <w:b/>
          <w:spacing w:val="-1"/>
          <w:sz w:val="34"/>
          <w:u w:val="single"/>
        </w:rPr>
      </w:pPr>
    </w:p>
    <w:p w:rsidR="00184882" w:rsidRPr="00A96235" w:rsidRDefault="00A96235" w:rsidP="00A96235">
      <w:pPr>
        <w:jc w:val="center"/>
        <w:rPr>
          <w:spacing w:val="-1"/>
          <w:sz w:val="10"/>
        </w:rPr>
      </w:pPr>
      <w:r w:rsidRPr="00A96235">
        <w:rPr>
          <w:b/>
          <w:spacing w:val="-1"/>
          <w:sz w:val="28"/>
          <w:szCs w:val="36"/>
          <w:u w:val="single"/>
        </w:rPr>
        <w:t xml:space="preserve">EXPRESSION OF INTEREST FOR HIRING THE SERVICES OF CONSULTANT FOR </w:t>
      </w:r>
      <w:r>
        <w:rPr>
          <w:b/>
          <w:spacing w:val="-1"/>
          <w:sz w:val="28"/>
          <w:szCs w:val="36"/>
          <w:u w:val="single"/>
        </w:rPr>
        <w:t xml:space="preserve">EXPO, CONFEERNCES &amp; EVENT MANAGEMENT </w:t>
      </w:r>
    </w:p>
    <w:p w:rsidR="00184882" w:rsidRDefault="00184882" w:rsidP="00184882">
      <w:pPr>
        <w:jc w:val="both"/>
        <w:rPr>
          <w:b/>
          <w:u w:val="single"/>
        </w:rPr>
      </w:pPr>
    </w:p>
    <w:p w:rsidR="00184882" w:rsidRDefault="00184882" w:rsidP="004367D0">
      <w:pPr>
        <w:jc w:val="both"/>
      </w:pPr>
      <w:r w:rsidRPr="00A06B39">
        <w:t xml:space="preserve">Pakistan Scientific and Technological Information Centre a National Agency for collection and dissemination of scientific information </w:t>
      </w:r>
      <w:r w:rsidR="0070211B">
        <w:t>intends</w:t>
      </w:r>
      <w:r>
        <w:t xml:space="preserve"> to </w:t>
      </w:r>
      <w:r w:rsidRPr="00A06B39">
        <w:t xml:space="preserve">invite sealed </w:t>
      </w:r>
      <w:r w:rsidR="00AB0A95">
        <w:t>bid</w:t>
      </w:r>
      <w:r w:rsidR="001C72E9">
        <w:t xml:space="preserve"> </w:t>
      </w:r>
      <w:r w:rsidR="004367D0">
        <w:t>from well reputed and highly experienced</w:t>
      </w:r>
      <w:r w:rsidR="00A96235" w:rsidRPr="00A96235">
        <w:t xml:space="preserve"> </w:t>
      </w:r>
      <w:r w:rsidR="004367D0">
        <w:t>consultants</w:t>
      </w:r>
      <w:r w:rsidR="001C72E9">
        <w:t xml:space="preserve"> (on short term basis) </w:t>
      </w:r>
      <w:r w:rsidR="00A96235" w:rsidRPr="00A96235">
        <w:t>under the Procurement of Consultancy Services Regulations, 2010</w:t>
      </w:r>
      <w:r w:rsidR="004367D0">
        <w:t xml:space="preserve"> on ‘</w:t>
      </w:r>
      <w:r w:rsidR="0070211B" w:rsidRPr="004367D0">
        <w:rPr>
          <w:b/>
        </w:rPr>
        <w:t>Single Stage Two Envelop</w:t>
      </w:r>
      <w:r w:rsidR="004367D0">
        <w:rPr>
          <w:b/>
        </w:rPr>
        <w:t>e’</w:t>
      </w:r>
      <w:r w:rsidR="0070211B" w:rsidRPr="004367D0">
        <w:rPr>
          <w:b/>
        </w:rPr>
        <w:t xml:space="preserve"> </w:t>
      </w:r>
      <w:r w:rsidR="004367D0" w:rsidRPr="004367D0">
        <w:t>basis</w:t>
      </w:r>
      <w:r w:rsidR="0070211B">
        <w:t xml:space="preserve"> to organize a </w:t>
      </w:r>
      <w:r w:rsidR="004367D0">
        <w:t>N</w:t>
      </w:r>
      <w:r w:rsidR="0070211B">
        <w:t xml:space="preserve">ational Exhibition on </w:t>
      </w:r>
      <w:r w:rsidR="0070211B" w:rsidRPr="004367D0">
        <w:rPr>
          <w:b/>
          <w:i/>
        </w:rPr>
        <w:t>IT and Computer Tools for Science &amp; Education</w:t>
      </w:r>
      <w:r w:rsidR="00A96235">
        <w:t xml:space="preserve"> for </w:t>
      </w:r>
      <w:r w:rsidR="0070211B">
        <w:t xml:space="preserve">creating awareness among the masses about the development in IT and Telecommunication industry for science and education. </w:t>
      </w:r>
    </w:p>
    <w:p w:rsidR="00B75898" w:rsidRDefault="00B75898" w:rsidP="004367D0">
      <w:pPr>
        <w:jc w:val="both"/>
      </w:pPr>
    </w:p>
    <w:p w:rsidR="00B75898" w:rsidRPr="00F63338" w:rsidRDefault="00B75898" w:rsidP="00B75898">
      <w:pPr>
        <w:pStyle w:val="ListParagraph"/>
        <w:tabs>
          <w:tab w:val="left" w:pos="0"/>
        </w:tabs>
        <w:ind w:left="0"/>
        <w:jc w:val="both"/>
      </w:pPr>
      <w:r>
        <w:t>Tender/RFP</w:t>
      </w:r>
      <w:r w:rsidRPr="00A06B39">
        <w:t xml:space="preserve"> document of the </w:t>
      </w:r>
      <w:r>
        <w:t xml:space="preserve">required services may be collected </w:t>
      </w:r>
      <w:r w:rsidRPr="00A06B39">
        <w:t xml:space="preserve">from the </w:t>
      </w:r>
      <w:r w:rsidRPr="005252DF">
        <w:rPr>
          <w:b/>
        </w:rPr>
        <w:t>undersigned</w:t>
      </w:r>
      <w:r>
        <w:rPr>
          <w:b/>
        </w:rPr>
        <w:t xml:space="preserve"> (in person)</w:t>
      </w:r>
      <w:r w:rsidRPr="00A06B39">
        <w:t xml:space="preserve"> during the office hours except </w:t>
      </w:r>
      <w:proofErr w:type="spellStart"/>
      <w:r w:rsidRPr="00A06B39">
        <w:t>Gazetted</w:t>
      </w:r>
      <w:proofErr w:type="spellEnd"/>
      <w:r w:rsidRPr="00A06B39">
        <w:t xml:space="preserve"> Holidays</w:t>
      </w:r>
      <w:r>
        <w:t xml:space="preserve"> before the closing date &amp; time.</w:t>
      </w:r>
    </w:p>
    <w:p w:rsidR="004367D0" w:rsidRDefault="004367D0" w:rsidP="004367D0">
      <w:pPr>
        <w:jc w:val="both"/>
      </w:pPr>
    </w:p>
    <w:p w:rsidR="00A61B4E" w:rsidRDefault="00A61B4E" w:rsidP="004367D0">
      <w:pPr>
        <w:jc w:val="both"/>
      </w:pPr>
      <w:r>
        <w:t>The interested consultant</w:t>
      </w:r>
      <w:r w:rsidR="00B27D4F">
        <w:t>s</w:t>
      </w:r>
      <w:r>
        <w:t xml:space="preserve"> should send their </w:t>
      </w:r>
      <w:r w:rsidR="00B27D4F">
        <w:t>“</w:t>
      </w:r>
      <w:r w:rsidR="00B27D4F" w:rsidRPr="00B27D4F">
        <w:rPr>
          <w:b/>
        </w:rPr>
        <w:t>Technical</w:t>
      </w:r>
      <w:r w:rsidRPr="00B27D4F">
        <w:rPr>
          <w:b/>
        </w:rPr>
        <w:t xml:space="preserve"> Proposal</w:t>
      </w:r>
      <w:r>
        <w:t>” and “</w:t>
      </w:r>
      <w:r w:rsidRPr="00B27D4F">
        <w:rPr>
          <w:b/>
        </w:rPr>
        <w:t>Financial Proposal</w:t>
      </w:r>
      <w:r>
        <w:t xml:space="preserve">” in separate sealed envelopes clearly marked as </w:t>
      </w:r>
      <w:r w:rsidR="00B27D4F">
        <w:t>“Technical</w:t>
      </w:r>
      <w:r>
        <w:t xml:space="preserve"> Proposal” and “Financial Proposal” by keeping both the proposals in one sealed envelope in accordance with PPRA Rules.</w:t>
      </w:r>
      <w:r w:rsidR="00B27D4F">
        <w:t xml:space="preserve"> Financial Proposal of only those consultants will be opened who will meet the eligibility /evaluation criteria as mentioned in the detailed tender document (short listing shall be made according to evaluation criteria).</w:t>
      </w:r>
    </w:p>
    <w:p w:rsidR="00B27D4F" w:rsidRDefault="00B27D4F" w:rsidP="004367D0">
      <w:pPr>
        <w:jc w:val="both"/>
      </w:pPr>
    </w:p>
    <w:p w:rsidR="00184882" w:rsidRDefault="00184882" w:rsidP="00B27D4F">
      <w:pPr>
        <w:jc w:val="both"/>
        <w:rPr>
          <w:spacing w:val="-1"/>
        </w:rPr>
      </w:pPr>
      <w:r w:rsidRPr="00276B9E">
        <w:rPr>
          <w:spacing w:val="-1"/>
        </w:rPr>
        <w:t xml:space="preserve">Proposals should be submitted </w:t>
      </w:r>
      <w:r w:rsidR="00215F82">
        <w:rPr>
          <w:spacing w:val="-1"/>
        </w:rPr>
        <w:t xml:space="preserve">to the undersigned </w:t>
      </w:r>
      <w:r w:rsidRPr="009559D3">
        <w:rPr>
          <w:spacing w:val="-1"/>
        </w:rPr>
        <w:t xml:space="preserve">latest </w:t>
      </w:r>
      <w:r w:rsidRPr="00015F3D">
        <w:rPr>
          <w:spacing w:val="-1"/>
        </w:rPr>
        <w:t>by</w:t>
      </w:r>
      <w:r>
        <w:rPr>
          <w:spacing w:val="-1"/>
        </w:rPr>
        <w:t xml:space="preserve"> </w:t>
      </w:r>
      <w:r w:rsidR="003A595A">
        <w:rPr>
          <w:spacing w:val="-1"/>
        </w:rPr>
        <w:t>10</w:t>
      </w:r>
      <w:r w:rsidR="00F145C9">
        <w:rPr>
          <w:spacing w:val="-1"/>
        </w:rPr>
        <w:t>-</w:t>
      </w:r>
      <w:r w:rsidR="003A595A">
        <w:rPr>
          <w:spacing w:val="-1"/>
        </w:rPr>
        <w:t>07</w:t>
      </w:r>
      <w:r w:rsidR="00F145C9">
        <w:rPr>
          <w:spacing w:val="-1"/>
        </w:rPr>
        <w:t>-2017</w:t>
      </w:r>
      <w:r>
        <w:rPr>
          <w:spacing w:val="-1"/>
        </w:rPr>
        <w:t xml:space="preserve"> till</w:t>
      </w:r>
      <w:r w:rsidRPr="009559D3">
        <w:rPr>
          <w:spacing w:val="-1"/>
        </w:rPr>
        <w:t xml:space="preserve"> 11:00 a.m</w:t>
      </w:r>
      <w:r w:rsidR="001072FE">
        <w:rPr>
          <w:spacing w:val="-1"/>
        </w:rPr>
        <w:t>.</w:t>
      </w:r>
      <w:r w:rsidR="00B75898">
        <w:rPr>
          <w:spacing w:val="-1"/>
        </w:rPr>
        <w:t xml:space="preserve"> </w:t>
      </w:r>
      <w:r w:rsidR="001072FE">
        <w:rPr>
          <w:spacing w:val="-1"/>
        </w:rPr>
        <w:t>Technical Proposal will be open</w:t>
      </w:r>
      <w:r w:rsidR="00AF7A64">
        <w:rPr>
          <w:spacing w:val="-1"/>
        </w:rPr>
        <w:t>ed</w:t>
      </w:r>
      <w:r w:rsidR="001072FE">
        <w:rPr>
          <w:spacing w:val="-1"/>
        </w:rPr>
        <w:t xml:space="preserve"> </w:t>
      </w:r>
      <w:r w:rsidRPr="009559D3">
        <w:rPr>
          <w:spacing w:val="-1"/>
        </w:rPr>
        <w:t xml:space="preserve">on the same day at 11:30 </w:t>
      </w:r>
      <w:proofErr w:type="spellStart"/>
      <w:r w:rsidRPr="009559D3">
        <w:rPr>
          <w:spacing w:val="-1"/>
        </w:rPr>
        <w:t>a.m</w:t>
      </w:r>
      <w:proofErr w:type="spellEnd"/>
      <w:r w:rsidRPr="009559D3">
        <w:rPr>
          <w:spacing w:val="-1"/>
        </w:rPr>
        <w:t xml:space="preserve"> </w:t>
      </w:r>
      <w:r w:rsidR="00B27D4F">
        <w:rPr>
          <w:spacing w:val="-1"/>
        </w:rPr>
        <w:t xml:space="preserve">in </w:t>
      </w:r>
      <w:r w:rsidR="00B27D4F" w:rsidRPr="009559D3">
        <w:rPr>
          <w:spacing w:val="-1"/>
        </w:rPr>
        <w:t>the PASTIC Committee Room, Islamabad in the presence of the bidders or their representatives</w:t>
      </w:r>
      <w:r w:rsidR="00B27D4F">
        <w:rPr>
          <w:spacing w:val="-1"/>
        </w:rPr>
        <w:t>,</w:t>
      </w:r>
      <w:r w:rsidR="00B27D4F" w:rsidRPr="009559D3">
        <w:rPr>
          <w:spacing w:val="-1"/>
        </w:rPr>
        <w:t xml:space="preserve"> </w:t>
      </w:r>
      <w:r w:rsidR="00B27D4F">
        <w:rPr>
          <w:spacing w:val="-1"/>
        </w:rPr>
        <w:t>who</w:t>
      </w:r>
      <w:r w:rsidR="00B27D4F" w:rsidRPr="009559D3">
        <w:rPr>
          <w:spacing w:val="-1"/>
        </w:rPr>
        <w:t xml:space="preserve"> wish to attend.</w:t>
      </w:r>
      <w:r w:rsidR="00B27D4F">
        <w:rPr>
          <w:spacing w:val="-1"/>
        </w:rPr>
        <w:t xml:space="preserve">  </w:t>
      </w:r>
      <w:proofErr w:type="gramStart"/>
      <w:r w:rsidR="00B27D4F">
        <w:rPr>
          <w:spacing w:val="-1"/>
        </w:rPr>
        <w:t xml:space="preserve">Whereas Financial Proposal for shortlisted consultants will be opened within three days </w:t>
      </w:r>
      <w:r w:rsidR="001072FE">
        <w:rPr>
          <w:spacing w:val="-1"/>
        </w:rPr>
        <w:t xml:space="preserve">(after </w:t>
      </w:r>
      <w:r w:rsidR="00B27D4F">
        <w:rPr>
          <w:spacing w:val="-1"/>
        </w:rPr>
        <w:t xml:space="preserve">observing the </w:t>
      </w:r>
      <w:r w:rsidR="001072FE">
        <w:rPr>
          <w:spacing w:val="-1"/>
        </w:rPr>
        <w:t>short listing</w:t>
      </w:r>
      <w:r w:rsidR="00B75898">
        <w:rPr>
          <w:spacing w:val="-1"/>
        </w:rPr>
        <w:t xml:space="preserve"> criteria</w:t>
      </w:r>
      <w:r w:rsidR="001072FE">
        <w:rPr>
          <w:spacing w:val="-1"/>
        </w:rPr>
        <w:t>)</w:t>
      </w:r>
      <w:r w:rsidR="00B75898">
        <w:rPr>
          <w:spacing w:val="-1"/>
        </w:rPr>
        <w:t>.</w:t>
      </w:r>
      <w:proofErr w:type="gramEnd"/>
      <w:r w:rsidR="001072FE">
        <w:rPr>
          <w:spacing w:val="-1"/>
        </w:rPr>
        <w:t xml:space="preserve"> </w:t>
      </w:r>
    </w:p>
    <w:p w:rsidR="00B75898" w:rsidRDefault="00B75898" w:rsidP="00B27D4F">
      <w:pPr>
        <w:jc w:val="both"/>
        <w:rPr>
          <w:spacing w:val="-1"/>
        </w:rPr>
      </w:pPr>
    </w:p>
    <w:p w:rsidR="00B75898" w:rsidRDefault="00B75898" w:rsidP="00B27D4F">
      <w:pPr>
        <w:jc w:val="both"/>
        <w:rPr>
          <w:b/>
          <w:sz w:val="10"/>
        </w:rPr>
      </w:pPr>
      <w:r>
        <w:rPr>
          <w:spacing w:val="-1"/>
        </w:rPr>
        <w:t>Any wrong or misleading information provided by the applicant/consultant shall lead to disqualification and cancellation of agreement/contract (if any) of their proposal from competition process</w:t>
      </w:r>
    </w:p>
    <w:p w:rsidR="00184882" w:rsidRDefault="00184882" w:rsidP="00184882">
      <w:pPr>
        <w:rPr>
          <w:b/>
          <w:sz w:val="10"/>
        </w:rPr>
      </w:pPr>
    </w:p>
    <w:p w:rsidR="00184882" w:rsidRDefault="00184882" w:rsidP="00184882">
      <w:pPr>
        <w:rPr>
          <w:b/>
          <w:sz w:val="10"/>
        </w:rPr>
      </w:pPr>
    </w:p>
    <w:p w:rsidR="00184882" w:rsidRDefault="00184882" w:rsidP="00184882">
      <w:pPr>
        <w:rPr>
          <w:b/>
          <w:sz w:val="10"/>
        </w:rPr>
      </w:pPr>
    </w:p>
    <w:p w:rsidR="00184882" w:rsidRDefault="00184882" w:rsidP="00184882">
      <w:pPr>
        <w:rPr>
          <w:b/>
          <w:sz w:val="10"/>
        </w:rPr>
      </w:pPr>
    </w:p>
    <w:p w:rsidR="00184882" w:rsidRPr="00FF1670" w:rsidRDefault="00184882" w:rsidP="00184882">
      <w:pPr>
        <w:rPr>
          <w:b/>
        </w:rPr>
      </w:pPr>
    </w:p>
    <w:p w:rsidR="00184882" w:rsidRPr="00FF1670" w:rsidRDefault="00184882" w:rsidP="00184882">
      <w:pPr>
        <w:ind w:left="6096"/>
        <w:jc w:val="center"/>
        <w:rPr>
          <w:b/>
        </w:rPr>
      </w:pPr>
      <w:r w:rsidRPr="00FF1670">
        <w:rPr>
          <w:b/>
        </w:rPr>
        <w:t xml:space="preserve">Dr. Raja </w:t>
      </w:r>
      <w:proofErr w:type="spellStart"/>
      <w:r w:rsidRPr="00FF1670">
        <w:rPr>
          <w:b/>
        </w:rPr>
        <w:t>Razi-ul-Hasnain</w:t>
      </w:r>
      <w:proofErr w:type="spellEnd"/>
    </w:p>
    <w:p w:rsidR="00184882" w:rsidRPr="00E035C7" w:rsidRDefault="00184882" w:rsidP="00184882">
      <w:pPr>
        <w:ind w:left="6096"/>
        <w:jc w:val="center"/>
      </w:pPr>
      <w:r w:rsidRPr="00E035C7">
        <w:t>Additional Director (A &amp;F)</w:t>
      </w:r>
    </w:p>
    <w:p w:rsidR="00215F82" w:rsidRDefault="00184882" w:rsidP="00B3050A">
      <w:pPr>
        <w:ind w:left="6096"/>
        <w:jc w:val="center"/>
        <w:rPr>
          <w:rFonts w:ascii="Berlin Sans FB Demi" w:hAnsi="Berlin Sans FB Demi"/>
          <w:b/>
          <w:sz w:val="16"/>
          <w:u w:val="single"/>
        </w:rPr>
      </w:pPr>
      <w:r w:rsidRPr="00E035C7">
        <w:t>Ph. 9248105</w:t>
      </w:r>
    </w:p>
    <w:sectPr w:rsidR="00215F82" w:rsidSect="00AD317C">
      <w:pgSz w:w="11906" w:h="16838"/>
      <w:pgMar w:top="72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32C9"/>
    <w:multiLevelType w:val="hybridMultilevel"/>
    <w:tmpl w:val="00B44724"/>
    <w:lvl w:ilvl="0" w:tplc="803CDF26">
      <w:start w:val="1"/>
      <w:numFmt w:val="lowerRoman"/>
      <w:lvlText w:val="%1)"/>
      <w:lvlJc w:val="left"/>
      <w:pPr>
        <w:ind w:left="823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71487532">
      <w:numFmt w:val="bullet"/>
      <w:lvlText w:val="•"/>
      <w:lvlJc w:val="left"/>
      <w:pPr>
        <w:ind w:left="1552" w:hanging="360"/>
      </w:pPr>
      <w:rPr>
        <w:rFonts w:hint="default"/>
      </w:rPr>
    </w:lvl>
    <w:lvl w:ilvl="2" w:tplc="8DE8A4B2"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C700DED4">
      <w:numFmt w:val="bullet"/>
      <w:lvlText w:val="•"/>
      <w:lvlJc w:val="left"/>
      <w:pPr>
        <w:ind w:left="3018" w:hanging="360"/>
      </w:pPr>
      <w:rPr>
        <w:rFonts w:hint="default"/>
      </w:rPr>
    </w:lvl>
    <w:lvl w:ilvl="4" w:tplc="0D18A7E2">
      <w:numFmt w:val="bullet"/>
      <w:lvlText w:val="•"/>
      <w:lvlJc w:val="left"/>
      <w:pPr>
        <w:ind w:left="3750" w:hanging="360"/>
      </w:pPr>
      <w:rPr>
        <w:rFonts w:hint="default"/>
      </w:rPr>
    </w:lvl>
    <w:lvl w:ilvl="5" w:tplc="3506A846">
      <w:numFmt w:val="bullet"/>
      <w:lvlText w:val="•"/>
      <w:lvlJc w:val="left"/>
      <w:pPr>
        <w:ind w:left="4483" w:hanging="360"/>
      </w:pPr>
      <w:rPr>
        <w:rFonts w:hint="default"/>
      </w:rPr>
    </w:lvl>
    <w:lvl w:ilvl="6" w:tplc="2072261A">
      <w:numFmt w:val="bullet"/>
      <w:lvlText w:val="•"/>
      <w:lvlJc w:val="left"/>
      <w:pPr>
        <w:ind w:left="5216" w:hanging="360"/>
      </w:pPr>
      <w:rPr>
        <w:rFonts w:hint="default"/>
      </w:rPr>
    </w:lvl>
    <w:lvl w:ilvl="7" w:tplc="0F046B4C">
      <w:numFmt w:val="bullet"/>
      <w:lvlText w:val="•"/>
      <w:lvlJc w:val="left"/>
      <w:pPr>
        <w:ind w:left="5949" w:hanging="360"/>
      </w:pPr>
      <w:rPr>
        <w:rFonts w:hint="default"/>
      </w:rPr>
    </w:lvl>
    <w:lvl w:ilvl="8" w:tplc="9B0E1326">
      <w:numFmt w:val="bullet"/>
      <w:lvlText w:val="•"/>
      <w:lvlJc w:val="left"/>
      <w:pPr>
        <w:ind w:left="6681" w:hanging="360"/>
      </w:pPr>
      <w:rPr>
        <w:rFonts w:hint="default"/>
      </w:rPr>
    </w:lvl>
  </w:abstractNum>
  <w:abstractNum w:abstractNumId="1">
    <w:nsid w:val="0D40128C"/>
    <w:multiLevelType w:val="hybridMultilevel"/>
    <w:tmpl w:val="61628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70FE6"/>
    <w:multiLevelType w:val="hybridMultilevel"/>
    <w:tmpl w:val="8D5A5C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36787"/>
    <w:multiLevelType w:val="hybridMultilevel"/>
    <w:tmpl w:val="CD3AE6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D17E4D"/>
    <w:multiLevelType w:val="hybridMultilevel"/>
    <w:tmpl w:val="25F208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93884"/>
    <w:multiLevelType w:val="hybridMultilevel"/>
    <w:tmpl w:val="BA6EBDD0"/>
    <w:lvl w:ilvl="0" w:tplc="0409000F">
      <w:start w:val="1"/>
      <w:numFmt w:val="decimal"/>
      <w:lvlText w:val="%1."/>
      <w:lvlJc w:val="left"/>
      <w:pPr>
        <w:ind w:left="1248" w:hanging="360"/>
      </w:p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6">
    <w:nsid w:val="3E910C85"/>
    <w:multiLevelType w:val="hybridMultilevel"/>
    <w:tmpl w:val="E1A0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01BD1"/>
    <w:multiLevelType w:val="hybridMultilevel"/>
    <w:tmpl w:val="D2D02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C17692"/>
    <w:multiLevelType w:val="hybridMultilevel"/>
    <w:tmpl w:val="6C601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E74AE"/>
    <w:multiLevelType w:val="hybridMultilevel"/>
    <w:tmpl w:val="0E868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AA1241"/>
    <w:multiLevelType w:val="hybridMultilevel"/>
    <w:tmpl w:val="F73A0EB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5D10C3"/>
    <w:multiLevelType w:val="hybridMultilevel"/>
    <w:tmpl w:val="7EEED26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6E2799"/>
    <w:multiLevelType w:val="multilevel"/>
    <w:tmpl w:val="7F92A028"/>
    <w:lvl w:ilvl="0">
      <w:start w:val="1"/>
      <w:numFmt w:val="bullet"/>
      <w:lvlText w:val="n"/>
      <w:lvlJc w:val="left"/>
      <w:pPr>
        <w:tabs>
          <w:tab w:val="decimal" w:pos="288"/>
        </w:tabs>
        <w:ind w:left="720"/>
      </w:pPr>
      <w:rPr>
        <w:rFonts w:ascii="Wingdings" w:hAnsi="Wingdings"/>
        <w:strike w:val="0"/>
        <w:color w:val="16211D"/>
        <w:spacing w:val="-3"/>
        <w:w w:val="100"/>
        <w:sz w:val="1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12"/>
  </w:num>
  <w:num w:numId="7">
    <w:abstractNumId w:val="0"/>
  </w:num>
  <w:num w:numId="8">
    <w:abstractNumId w:val="8"/>
  </w:num>
  <w:num w:numId="9">
    <w:abstractNumId w:val="1"/>
  </w:num>
  <w:num w:numId="10">
    <w:abstractNumId w:val="11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84882"/>
    <w:rsid w:val="00071CEA"/>
    <w:rsid w:val="00075F7A"/>
    <w:rsid w:val="00095758"/>
    <w:rsid w:val="00102459"/>
    <w:rsid w:val="001072FE"/>
    <w:rsid w:val="00125C5A"/>
    <w:rsid w:val="00173408"/>
    <w:rsid w:val="00184882"/>
    <w:rsid w:val="00191573"/>
    <w:rsid w:val="001A3F6B"/>
    <w:rsid w:val="001C72E9"/>
    <w:rsid w:val="00205142"/>
    <w:rsid w:val="00215F82"/>
    <w:rsid w:val="00230EDA"/>
    <w:rsid w:val="00264C08"/>
    <w:rsid w:val="00280333"/>
    <w:rsid w:val="002C6D2A"/>
    <w:rsid w:val="002E2D35"/>
    <w:rsid w:val="0035617E"/>
    <w:rsid w:val="003A595A"/>
    <w:rsid w:val="003C77AD"/>
    <w:rsid w:val="00414970"/>
    <w:rsid w:val="004367D0"/>
    <w:rsid w:val="00441D22"/>
    <w:rsid w:val="004D7A88"/>
    <w:rsid w:val="005252DF"/>
    <w:rsid w:val="00575CCB"/>
    <w:rsid w:val="005929F3"/>
    <w:rsid w:val="005A560E"/>
    <w:rsid w:val="005F6F2D"/>
    <w:rsid w:val="00631512"/>
    <w:rsid w:val="0067447B"/>
    <w:rsid w:val="006C5014"/>
    <w:rsid w:val="0070211B"/>
    <w:rsid w:val="00723AAA"/>
    <w:rsid w:val="0076668A"/>
    <w:rsid w:val="00805BD9"/>
    <w:rsid w:val="00834B20"/>
    <w:rsid w:val="00864962"/>
    <w:rsid w:val="008A188B"/>
    <w:rsid w:val="008B2DFA"/>
    <w:rsid w:val="008C186E"/>
    <w:rsid w:val="008F4A6C"/>
    <w:rsid w:val="009C41E9"/>
    <w:rsid w:val="009E61DD"/>
    <w:rsid w:val="00A31967"/>
    <w:rsid w:val="00A61B4E"/>
    <w:rsid w:val="00A96235"/>
    <w:rsid w:val="00AB0A95"/>
    <w:rsid w:val="00AD0181"/>
    <w:rsid w:val="00AD317C"/>
    <w:rsid w:val="00AF7A64"/>
    <w:rsid w:val="00B058BD"/>
    <w:rsid w:val="00B27D4F"/>
    <w:rsid w:val="00B3050A"/>
    <w:rsid w:val="00B757DA"/>
    <w:rsid w:val="00B75898"/>
    <w:rsid w:val="00B92256"/>
    <w:rsid w:val="00BA2F80"/>
    <w:rsid w:val="00BA6599"/>
    <w:rsid w:val="00BC7004"/>
    <w:rsid w:val="00C27C88"/>
    <w:rsid w:val="00C77D1A"/>
    <w:rsid w:val="00C91C6B"/>
    <w:rsid w:val="00CF2228"/>
    <w:rsid w:val="00DD4718"/>
    <w:rsid w:val="00E035C7"/>
    <w:rsid w:val="00EF2DDF"/>
    <w:rsid w:val="00F145C9"/>
    <w:rsid w:val="00F512EB"/>
    <w:rsid w:val="00F72A63"/>
    <w:rsid w:val="00F76CCC"/>
    <w:rsid w:val="00F91567"/>
    <w:rsid w:val="00FC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882"/>
    <w:pPr>
      <w:ind w:left="720"/>
      <w:contextualSpacing/>
    </w:pPr>
  </w:style>
  <w:style w:type="character" w:styleId="Hyperlink">
    <w:name w:val="Hyperlink"/>
    <w:basedOn w:val="DefaultParagraphFont"/>
    <w:rsid w:val="001848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82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3C77AD"/>
    <w:pPr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834B20"/>
    <w:pPr>
      <w:widowControl w:val="0"/>
    </w:pPr>
    <w:rPr>
      <w:rFonts w:ascii="Calibri" w:eastAsia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805BD9"/>
    <w:pPr>
      <w:widowControl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05BD9"/>
    <w:rPr>
      <w:rFonts w:ascii="Calibri" w:eastAsia="Calibri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7D430-D23C-43C7-B440-30652102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tahir</dc:creator>
  <cp:lastModifiedBy>tahir</cp:lastModifiedBy>
  <cp:revision>5</cp:revision>
  <cp:lastPrinted>2017-06-22T08:14:00Z</cp:lastPrinted>
  <dcterms:created xsi:type="dcterms:W3CDTF">2017-06-23T06:27:00Z</dcterms:created>
  <dcterms:modified xsi:type="dcterms:W3CDTF">2017-06-23T06:48:00Z</dcterms:modified>
</cp:coreProperties>
</file>